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3</w:t>
      </w:r>
      <w:r/>
    </w:p>
    <w:p>
      <w:pPr>
        <w:pStyle w:val="6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1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21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Информационный материал для размещения</w:t>
      </w:r>
      <w:r/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Общенациональный Союз Индустрии Гостеприимства, РК «Сложные системы» (Фонд «Росконгресс») и Оргкомитет Конкурса «Регионы – устойчивое развитие» (</w:t>
      </w:r>
      <w:hyperlink r:id="rId9" w:tooltip="http://www.infra-konkurs.ru" w:history="1">
        <w:r>
          <w:rPr>
            <w:rStyle w:val="619"/>
            <w:sz w:val="26"/>
            <w:szCs w:val="26"/>
            <w:lang w:val="en-US"/>
          </w:rPr>
          <w:t xml:space="preserve">www</w:t>
        </w:r>
        <w:r>
          <w:rPr>
            <w:rStyle w:val="619"/>
            <w:sz w:val="26"/>
            <w:szCs w:val="26"/>
          </w:rPr>
          <w:t xml:space="preserve">.</w:t>
        </w:r>
        <w:r>
          <w:rPr>
            <w:rStyle w:val="619"/>
            <w:sz w:val="26"/>
            <w:szCs w:val="26"/>
            <w:lang w:val="en-US"/>
          </w:rPr>
          <w:t xml:space="preserve">infra</w:t>
        </w:r>
        <w:r>
          <w:rPr>
            <w:rStyle w:val="619"/>
            <w:sz w:val="26"/>
            <w:szCs w:val="26"/>
          </w:rPr>
          <w:t xml:space="preserve">-</w:t>
        </w:r>
        <w:r>
          <w:rPr>
            <w:rStyle w:val="619"/>
            <w:sz w:val="26"/>
            <w:szCs w:val="26"/>
            <w:lang w:val="en-US"/>
          </w:rPr>
          <w:t xml:space="preserve">konkurs</w:t>
        </w:r>
        <w:r>
          <w:rPr>
            <w:rStyle w:val="619"/>
            <w:sz w:val="26"/>
            <w:szCs w:val="26"/>
          </w:rPr>
          <w:t xml:space="preserve">.</w:t>
        </w:r>
        <w:r>
          <w:rPr>
            <w:rStyle w:val="619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) совместно разработали комплексные предложения, созданные с целью п</w:t>
      </w:r>
      <w:r>
        <w:rPr>
          <w:sz w:val="26"/>
          <w:szCs w:val="26"/>
        </w:rPr>
        <w:t xml:space="preserve">оддержки и развития туризма в субъектах Российской Федерации. Данное предложение включает привлечение льготного кредитования со сниженными входными требованиями к инициаторам проектов, а также грантовое финансирование и программы государственной поддержки.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2024 год было получено на рассмотрение более 142 обращений на общую сумму 73,0 млрд. рублей, из них получили льготное финансирование на сумму 27,0 млрд. рублей и 10,9 млрд. рублей грантовое финансирование по закупке модульных объектов. 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Вышеупомянутая работа показала высокую необходимость поддержки предприятий в данном направлении в связи, с чем было принято решение о начале нового отбора в период </w:t>
      </w:r>
      <w:r>
        <w:rPr>
          <w:b/>
          <w:sz w:val="26"/>
          <w:szCs w:val="26"/>
        </w:rPr>
        <w:t xml:space="preserve">с 01.05.2025 по 30.07.2025 г.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отбора:</w:t>
      </w:r>
      <w:r/>
    </w:p>
    <w:p>
      <w:pPr>
        <w:pStyle w:val="621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внутреннего и въездного туризма;</w:t>
      </w:r>
      <w:r/>
    </w:p>
    <w:p>
      <w:pPr>
        <w:pStyle w:val="621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Усиление роли туризма в просвещении и формировании культурно-нравственного потенциала населения регионов Российской Федерации;</w:t>
      </w:r>
      <w:r/>
    </w:p>
    <w:p>
      <w:pPr>
        <w:pStyle w:val="621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инвестиционных проектов за счет внебюджетного и грантового финансирования;</w:t>
      </w:r>
      <w:r/>
    </w:p>
    <w:p>
      <w:pPr>
        <w:pStyle w:val="621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</w:t>
      </w:r>
      <w:r>
        <w:rPr>
          <w:sz w:val="26"/>
          <w:szCs w:val="26"/>
        </w:rPr>
        <w:t xml:space="preserve">новых</w:t>
      </w:r>
      <w:r>
        <w:rPr>
          <w:sz w:val="26"/>
          <w:szCs w:val="26"/>
        </w:rPr>
        <w:t xml:space="preserve"> эффективных брендированных МБТРК;</w:t>
      </w:r>
      <w:r/>
    </w:p>
    <w:p>
      <w:pPr>
        <w:pStyle w:val="621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способов соединения с существующими туристическими маршрутами вплоть до полного покрытия («замощения») </w:t>
      </w:r>
      <w:r>
        <w:rPr>
          <w:sz w:val="26"/>
          <w:szCs w:val="26"/>
        </w:rPr>
        <w:t xml:space="preserve">сетью логистических и тематически объединенных «больших брендов» всей территории Российской Федерации, Арктики и др., а также ответвляющихся от них тематических суббрендов, например, «Золотые купола России», «Круизы Большой Волги» или «Байкал мистический».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Принять участие в отборе могут предприятия реального сектора экономики следующей направленности деятельности:</w:t>
      </w:r>
      <w:r/>
    </w:p>
    <w:p>
      <w:pPr>
        <w:pStyle w:val="620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Промышленные предприятия: строительство объектов для собственных нужд или проекты, не связанные с основной деятельностью (диверсификация бизнеса);</w:t>
      </w:r>
      <w:r/>
    </w:p>
    <w:p>
      <w:pPr>
        <w:pStyle w:val="620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Агропромышленные предприятия: строительство объектов для собственных нужд или проекты, не связанные с основной деятельностью (диверсификация бизнеса);</w:t>
      </w:r>
      <w:r/>
    </w:p>
    <w:p>
      <w:pPr>
        <w:pStyle w:val="620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Предприятия, связанные с туризмом: расширение действующего бизнеса и строительство новых объектов.</w:t>
      </w:r>
      <w:bookmarkStart w:id="0" w:name="_GoBack"/>
      <w:r/>
      <w:bookmarkEnd w:id="0"/>
      <w:r/>
      <w:r/>
    </w:p>
    <w:p>
      <w:pPr>
        <w:pStyle w:val="620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Предприятия, предоставляющие услуги предприятиям, связанные с туризмом (производство товаров, оборудования, строительных материалов, модульных решений и др.) по программе «Расширение географии присутствия» (аккредитация контрагентов) (Приложение № 1).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Льготное финансирование и грантовое финансирование предоставляются при реализации следующих категорий проектов: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Строительство или модернизация модульных гостиниц;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Строительство или модернизация модульных банных комплексов;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Строительство или модернизация модульных спортивно-оздоровительных комплексов;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Строительство или модернизация модульных рекреационных центров;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Строительство центров медицинского туризма;</w:t>
      </w:r>
      <w:r/>
    </w:p>
    <w:p>
      <w:pPr>
        <w:pStyle w:val="620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Иные объекты туристической отрасли.</w:t>
      </w:r>
      <w:r/>
    </w:p>
    <w:p>
      <w:pPr>
        <w:pStyle w:val="621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0"/>
        <w:ind w:left="0" w:firstLine="567"/>
        <w:jc w:val="both"/>
        <w:widowControl w:val="off"/>
        <w:tabs>
          <w:tab w:val="left" w:pos="1178" w:leader="none"/>
        </w:tabs>
        <w:rPr>
          <w:rFonts w:ascii="Times New Roman" w:hAnsi="Times New Roman" w:cs="Times New Roman" w:eastAsiaTheme="minorHAnsi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Грантовое финансирование</w:t>
      </w:r>
      <w:r>
        <w:rPr>
          <w:rFonts w:ascii="Times New Roman" w:hAnsi="Times New Roman" w:cs="Times New Roman" w:eastAsiaTheme="minorHAnsi"/>
          <w:b/>
          <w:sz w:val="26"/>
          <w:szCs w:val="26"/>
          <w:lang w:val="ru-RU"/>
        </w:rPr>
        <w:t xml:space="preserve"> предоставляются на компенсацию затрат по следующим категориям: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строительно-монтажные работы;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приобретение модульных решений (конструкций);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приобретение оборудования;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приобретение мебели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приобретение ПО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управлению объектами;</w:t>
      </w:r>
      <w:r/>
    </w:p>
    <w:p>
      <w:pPr>
        <w:pStyle w:val="62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составление управленческого учета и проведения аудита. </w:t>
      </w:r>
      <w:r/>
    </w:p>
    <w:p>
      <w:pPr>
        <w:pStyle w:val="620"/>
        <w:contextualSpacing w:val="0"/>
        <w:ind w:left="0" w:firstLine="567"/>
        <w:jc w:val="both"/>
        <w:widowControl w:val="off"/>
        <w:tabs>
          <w:tab w:val="left" w:pos="1178" w:leader="none"/>
        </w:tabs>
        <w:rPr>
          <w:rFonts w:ascii="Times New Roman" w:hAnsi="Times New Roman" w:cs="Times New Roman" w:eastAsiaTheme="minorHAnsi"/>
          <w:b/>
          <w:sz w:val="26"/>
          <w:szCs w:val="26"/>
          <w:lang w:val="ru-RU"/>
        </w:rPr>
      </w:pPr>
      <w:r>
        <w:rPr>
          <w:rFonts w:ascii="Times New Roman" w:hAnsi="Times New Roman" w:cs="Times New Roman" w:eastAsiaTheme="minorHAnsi"/>
          <w:b/>
          <w:sz w:val="26"/>
          <w:szCs w:val="26"/>
          <w:lang w:val="ru-RU"/>
        </w:rPr>
      </w:r>
      <w:r/>
    </w:p>
    <w:p>
      <w:pPr>
        <w:pStyle w:val="620"/>
        <w:ind w:left="0" w:firstLine="567"/>
        <w:jc w:val="both"/>
        <w:widowControl w:val="off"/>
        <w:tabs>
          <w:tab w:val="left" w:pos="1178" w:leader="none"/>
        </w:tabs>
        <w:rPr>
          <w:rFonts w:ascii="Times New Roman" w:hAnsi="Times New Roman" w:cs="Times New Roman" w:eastAsiaTheme="minorHAnsi"/>
          <w:b/>
          <w:sz w:val="26"/>
          <w:szCs w:val="26"/>
          <w:lang w:val="ru-RU"/>
        </w:rPr>
      </w:pPr>
      <w:r>
        <w:rPr>
          <w:rFonts w:ascii="Times New Roman" w:hAnsi="Times New Roman" w:cs="Times New Roman" w:eastAsiaTheme="minorHAnsi"/>
          <w:b/>
          <w:sz w:val="26"/>
          <w:szCs w:val="26"/>
          <w:lang w:val="ru-RU"/>
        </w:rPr>
        <w:t xml:space="preserve">Нормативно – правовые документы, регулирующие работу Программы:</w:t>
      </w:r>
      <w:r/>
    </w:p>
    <w:p>
      <w:pPr>
        <w:pStyle w:val="621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24.11.1996 № 132-ФЗ «Об основах туристской деятельности в Российской Федерации» (с изм. и доп., вступ. в силу с 01.03.2025); </w:t>
      </w:r>
      <w:r/>
    </w:p>
    <w:p>
      <w:pPr>
        <w:pStyle w:val="621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Правительства РФ от 24.12.2021 № 2439 «Об утверждении государственной программы Российской Федерации «Развитие туризма»;</w:t>
      </w:r>
      <w:r/>
    </w:p>
    <w:p>
      <w:pPr>
        <w:pStyle w:val="621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Минэкономразвития России от 22.01.2024 № 27 «Об утверждении Методических рекомендаций по организации в субъектах Российской Федерации деятельности в сфере развития туризма»;</w:t>
      </w:r>
      <w:r/>
    </w:p>
    <w:p>
      <w:pPr>
        <w:pStyle w:val="621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Правительства РФ от 25.04.2024 № 1025-р «Об утверждении Концепции развития автомобильного туризма в Российской Федерации на период до 2035 года»;</w:t>
      </w:r>
      <w:r/>
    </w:p>
    <w:p>
      <w:pPr>
        <w:pStyle w:val="621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Национальный проект </w:t>
      </w:r>
      <w:hyperlink r:id="rId10" w:tooltip="&quot;Паспорт национального проекта &quot;Туризм и индустрия гостеприимства&quot; (утв. Ростуризмом) {КонсультантПлюс}" w:history="1">
        <w:r>
          <w:rPr>
            <w:rStyle w:val="619"/>
            <w:sz w:val="26"/>
            <w:szCs w:val="26"/>
          </w:rPr>
          <w:t xml:space="preserve">«Туризм и индустрия гостеприимства»</w:t>
        </w:r>
      </w:hyperlink>
      <w:r>
        <w:rPr>
          <w:rStyle w:val="619"/>
          <w:sz w:val="26"/>
          <w:szCs w:val="26"/>
        </w:rPr>
        <w:t xml:space="preserve">.</w:t>
      </w:r>
      <w:r/>
    </w:p>
    <w:p>
      <w:pPr>
        <w:pStyle w:val="621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«О выделении грантов Инициаторам проектов для реализации инвестиционных проектов, связанных с развитием туризма и туристической инфраструктуры» размещено на сайте: </w:t>
      </w:r>
      <w:hyperlink r:id="rId11" w:tooltip="http://www.infra-konkurs.ru_____" w:history="1">
        <w:r>
          <w:rPr>
            <w:rStyle w:val="619"/>
            <w:sz w:val="26"/>
            <w:szCs w:val="26"/>
          </w:rPr>
          <w:t xml:space="preserve">www.infra-konkurs.ru</w:t>
        </w:r>
      </w:hyperlink>
      <w:r>
        <w:rPr>
          <w:sz w:val="26"/>
          <w:szCs w:val="26"/>
        </w:rPr>
        <w:t xml:space="preserve">.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приема Заявок производится в период с </w:t>
      </w:r>
      <w:r>
        <w:rPr>
          <w:b/>
          <w:sz w:val="26"/>
          <w:szCs w:val="26"/>
        </w:rPr>
        <w:t xml:space="preserve">01.05.2025 – 30.07.2025 год</w:t>
      </w:r>
      <w:r>
        <w:rPr>
          <w:sz w:val="26"/>
          <w:szCs w:val="26"/>
        </w:rPr>
        <w:t xml:space="preserve">а (</w:t>
      </w:r>
      <w:r>
        <w:rPr>
          <w:b/>
          <w:sz w:val="26"/>
          <w:szCs w:val="26"/>
        </w:rPr>
        <w:t xml:space="preserve">Приложение № 1 и 2</w:t>
      </w:r>
      <w:r>
        <w:rPr>
          <w:sz w:val="26"/>
          <w:szCs w:val="26"/>
        </w:rPr>
        <w:t xml:space="preserve">).  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Конкурса «Регионы – устойчивое развитие» по направлению «Туризм и туристическая инфраструктура» будут награждаться в рамках совместной работы на мероприятии  РК «Сложные системы» </w:t>
      </w:r>
      <w:r>
        <w:rPr>
          <w:b/>
          <w:sz w:val="26"/>
          <w:szCs w:val="26"/>
        </w:rPr>
        <w:t xml:space="preserve">(Фонда «Росконгресс»)</w:t>
      </w:r>
      <w:r>
        <w:rPr>
          <w:sz w:val="26"/>
          <w:szCs w:val="26"/>
        </w:rPr>
        <w:t xml:space="preserve">.</w:t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Заполненную Заявку необходимо направить на почту </w:t>
      </w:r>
      <w:hyperlink r:id="rId12" w:tooltip="mailto:info@infra-konkurs.ru" w:history="1">
        <w:r>
          <w:rPr>
            <w:rStyle w:val="619"/>
            <w:sz w:val="26"/>
            <w:szCs w:val="26"/>
          </w:rPr>
          <w:t xml:space="preserve">info@infra-konkurs.ru</w:t>
        </w:r>
      </w:hyperlink>
      <w:r>
        <w:rPr>
          <w:sz w:val="26"/>
          <w:szCs w:val="26"/>
        </w:rPr>
        <w:t xml:space="preserve"> или заполнить на сайте Конкурса «Регионы - устойчивое развитие </w:t>
      </w:r>
      <w:hyperlink r:id="rId13" w:tooltip="http://www.infra-konkurs.ru" w:history="1">
        <w:r>
          <w:rPr>
            <w:rStyle w:val="619"/>
            <w:sz w:val="26"/>
            <w:szCs w:val="26"/>
          </w:rPr>
          <w:t xml:space="preserve">www.infra-konkurs.ru</w:t>
        </w:r>
      </w:hyperlink>
      <w:r>
        <w:rPr>
          <w:sz w:val="26"/>
          <w:szCs w:val="26"/>
        </w:rPr>
        <w:t xml:space="preserve"> (раздел «</w:t>
      </w:r>
      <w:r>
        <w:rPr>
          <w:b/>
          <w:sz w:val="26"/>
          <w:szCs w:val="26"/>
        </w:rPr>
        <w:t xml:space="preserve">Подать Заявку</w:t>
      </w:r>
      <w:r>
        <w:rPr>
          <w:sz w:val="26"/>
          <w:szCs w:val="26"/>
        </w:rPr>
        <w:t xml:space="preserve">»).</w:t>
      </w:r>
      <w:r/>
    </w:p>
    <w:p>
      <w:pPr>
        <w:pStyle w:val="620"/>
        <w:contextualSpacing w:val="0"/>
        <w:ind w:left="0" w:firstLine="567"/>
        <w:jc w:val="both"/>
        <w:widowControl w:val="off"/>
        <w:tabs>
          <w:tab w:val="left" w:pos="1178" w:leader="none"/>
        </w:tabs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5"/>
    <w:next w:val="6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5"/>
    <w:next w:val="6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5"/>
    <w:next w:val="6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5"/>
    <w:next w:val="6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5"/>
    <w:next w:val="6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5"/>
    <w:next w:val="6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5"/>
    <w:next w:val="6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5"/>
    <w:next w:val="6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5"/>
    <w:next w:val="6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5"/>
    <w:next w:val="6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6"/>
    <w:link w:val="33"/>
    <w:uiPriority w:val="10"/>
    <w:rPr>
      <w:sz w:val="48"/>
      <w:szCs w:val="48"/>
    </w:rPr>
  </w:style>
  <w:style w:type="paragraph" w:styleId="35">
    <w:name w:val="Subtitle"/>
    <w:basedOn w:val="615"/>
    <w:next w:val="6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6"/>
    <w:link w:val="35"/>
    <w:uiPriority w:val="11"/>
    <w:rPr>
      <w:sz w:val="24"/>
      <w:szCs w:val="24"/>
    </w:rPr>
  </w:style>
  <w:style w:type="paragraph" w:styleId="37">
    <w:name w:val="Quote"/>
    <w:basedOn w:val="615"/>
    <w:next w:val="6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5"/>
    <w:next w:val="6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6"/>
    <w:link w:val="41"/>
    <w:uiPriority w:val="99"/>
  </w:style>
  <w:style w:type="paragraph" w:styleId="43">
    <w:name w:val="Footer"/>
    <w:basedOn w:val="61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6"/>
    <w:link w:val="43"/>
    <w:uiPriority w:val="99"/>
  </w:style>
  <w:style w:type="paragraph" w:styleId="45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6"/>
    <w:uiPriority w:val="99"/>
    <w:unhideWhenUsed/>
    <w:rPr>
      <w:vertAlign w:val="superscript"/>
    </w:rPr>
  </w:style>
  <w:style w:type="paragraph" w:styleId="177">
    <w:name w:val="endnote text"/>
    <w:basedOn w:val="6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6"/>
    <w:uiPriority w:val="99"/>
    <w:semiHidden/>
    <w:unhideWhenUsed/>
    <w:rPr>
      <w:vertAlign w:val="superscript"/>
    </w:rPr>
  </w:style>
  <w:style w:type="paragraph" w:styleId="180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character" w:styleId="619">
    <w:name w:val="Hyperlink"/>
    <w:basedOn w:val="616"/>
    <w:uiPriority w:val="99"/>
    <w:unhideWhenUsed/>
    <w:rPr>
      <w:color w:val="0000ff" w:themeColor="hyperlink"/>
      <w:u w:val="single"/>
    </w:rPr>
  </w:style>
  <w:style w:type="paragraph" w:styleId="620">
    <w:name w:val="List Paragraph"/>
    <w:basedOn w:val="615"/>
    <w:link w:val="623"/>
    <w:uiPriority w:val="34"/>
    <w:qFormat/>
    <w:pPr>
      <w:contextualSpacing/>
      <w:ind w:left="720"/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621" w:customStyle="1">
    <w:name w:val="Без интервала1"/>
    <w:link w:val="622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2" w:customStyle="1">
    <w:name w:val="No Spacing Char"/>
    <w:link w:val="62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3" w:customStyle="1">
    <w:name w:val="Абзац списка Знак"/>
    <w:link w:val="620"/>
    <w:uiPriority w:val="3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infra-konkurs.ru" TargetMode="External"/><Relationship Id="rId10" Type="http://schemas.openxmlformats.org/officeDocument/2006/relationships/hyperlink" Target="https://login.consultant.ru/link/?req=doc&amp;base=LAW&amp;n=400657&amp;dst=100297" TargetMode="External"/><Relationship Id="rId11" Type="http://schemas.openxmlformats.org/officeDocument/2006/relationships/hyperlink" Target="http://www.infra-konkurs.ru_____" TargetMode="External"/><Relationship Id="rId12" Type="http://schemas.openxmlformats.org/officeDocument/2006/relationships/hyperlink" Target="mailto:info@infra-konkurs.ru" TargetMode="External"/><Relationship Id="rId13" Type="http://schemas.openxmlformats.org/officeDocument/2006/relationships/hyperlink" Target="http://www.infra-konkur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revision>4</cp:revision>
  <dcterms:created xsi:type="dcterms:W3CDTF">2025-04-28T10:11:00Z</dcterms:created>
  <dcterms:modified xsi:type="dcterms:W3CDTF">2025-05-13T11:28:53Z</dcterms:modified>
</cp:coreProperties>
</file>